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4A" w:rsidRDefault="004B50A9">
      <w:pPr>
        <w:jc w:val="center"/>
        <w:rPr>
          <w:b/>
        </w:rPr>
      </w:pPr>
      <w:bookmarkStart w:id="0" w:name="_GoBack"/>
      <w:bookmarkEnd w:id="0"/>
      <w:r>
        <w:rPr>
          <w:b/>
        </w:rPr>
        <w:t>DECRETO Nº 5.034, DE 11 DE MARÇO DE 2021</w:t>
      </w:r>
    </w:p>
    <w:p w:rsidR="009C294A" w:rsidRDefault="009C294A">
      <w:pPr>
        <w:rPr>
          <w:b/>
        </w:rPr>
      </w:pPr>
    </w:p>
    <w:p w:rsidR="009C294A" w:rsidRDefault="004B50A9">
      <w:pPr>
        <w:ind w:left="1702"/>
      </w:pPr>
      <w:r>
        <w:rPr>
          <w:b/>
        </w:rPr>
        <w:t>INSTITUI</w:t>
      </w:r>
      <w:r>
        <w:t xml:space="preserve"> a Comissão Técnica para Implementação da Revitalização do Centro Histórico de Manaus, e dá outras providências.</w:t>
      </w:r>
    </w:p>
    <w:p w:rsidR="009C294A" w:rsidRDefault="009C294A"/>
    <w:p w:rsidR="009C294A" w:rsidRDefault="004B50A9">
      <w:pPr>
        <w:ind w:firstLine="851"/>
      </w:pPr>
      <w:r>
        <w:rPr>
          <w:b/>
        </w:rPr>
        <w:t>O PREFEITO DE MANAUS</w:t>
      </w:r>
      <w:r>
        <w:t>, no uso da competência que lhe confere o art. 128, inc. I, da Lei Orgânica do Município de Manaus,</w:t>
      </w:r>
    </w:p>
    <w:p w:rsidR="009C294A" w:rsidRDefault="009C294A">
      <w:pPr>
        <w:ind w:firstLine="851"/>
      </w:pPr>
    </w:p>
    <w:p w:rsidR="009C294A" w:rsidRDefault="004B50A9">
      <w:pPr>
        <w:ind w:firstLine="851"/>
      </w:pPr>
      <w:r>
        <w:rPr>
          <w:b/>
        </w:rPr>
        <w:t xml:space="preserve">CONSIDERANDO </w:t>
      </w:r>
      <w:r>
        <w:t xml:space="preserve">que, de acordo com o inc. IX, do art. 30 da Constituição Federal, compete aos Municípios promover a proteção do patrimônio histórico-cultural </w:t>
      </w:r>
      <w:r>
        <w:t>local;</w:t>
      </w:r>
    </w:p>
    <w:p w:rsidR="009C294A" w:rsidRDefault="009C294A">
      <w:pPr>
        <w:ind w:firstLine="851"/>
      </w:pPr>
    </w:p>
    <w:p w:rsidR="009C294A" w:rsidRDefault="004B50A9">
      <w:pPr>
        <w:ind w:firstLine="851"/>
      </w:pPr>
      <w:r>
        <w:rPr>
          <w:b/>
        </w:rPr>
        <w:t xml:space="preserve">CONSIDERANDO </w:t>
      </w:r>
      <w:r>
        <w:t>que cabe ao município promover o tombamento e a proteção do patrimônio histórico, cultural, artístico, turístico e paisagístico local, conforme dispõe o inc. IX, do art. 8º da Lei Orgânica do Município de Manaus – LOMAN;</w:t>
      </w:r>
    </w:p>
    <w:p w:rsidR="009C294A" w:rsidRDefault="009C294A">
      <w:pPr>
        <w:ind w:firstLine="851"/>
      </w:pPr>
    </w:p>
    <w:p w:rsidR="009C294A" w:rsidRDefault="004B50A9">
      <w:pPr>
        <w:ind w:firstLine="851"/>
      </w:pPr>
      <w:r>
        <w:rPr>
          <w:b/>
        </w:rPr>
        <w:t xml:space="preserve">CONSIDERANDO </w:t>
      </w:r>
      <w:r>
        <w:t>que a atuação do município com relação à cultura se efetiva, principalmente, por meio da identificação, proteção, conservação, restauração, valorização e recuperação do patrimônio histórico-cultural, arquitetônico e paisagístico do Município, inclusive obr</w:t>
      </w:r>
      <w:r>
        <w:t>as de arte, objetos, documentos e imóveis;</w:t>
      </w:r>
    </w:p>
    <w:p w:rsidR="009C294A" w:rsidRDefault="009C294A">
      <w:pPr>
        <w:ind w:firstLine="851"/>
        <w:rPr>
          <w:b/>
          <w:sz w:val="15"/>
          <w:szCs w:val="15"/>
        </w:rPr>
      </w:pPr>
    </w:p>
    <w:p w:rsidR="009C294A" w:rsidRDefault="004B50A9">
      <w:pPr>
        <w:ind w:firstLine="851"/>
      </w:pPr>
      <w:r>
        <w:rPr>
          <w:b/>
        </w:rPr>
        <w:t xml:space="preserve">CONSIDERANDO </w:t>
      </w:r>
      <w:r>
        <w:t>que o município deve promover e incentivar o turismo como fator de desenvolvimento social e econômico, priorizando investimentos que visem a formação de estrutura turística voltada para o aproveitame</w:t>
      </w:r>
      <w:r>
        <w:t>nto das potencialidades existentes no Município principalmente a valorização do patrimônio histórico, paisagístico e natural;</w:t>
      </w:r>
    </w:p>
    <w:p w:rsidR="009C294A" w:rsidRDefault="009C294A">
      <w:pPr>
        <w:ind w:firstLine="851"/>
        <w:rPr>
          <w:b/>
          <w:sz w:val="15"/>
          <w:szCs w:val="15"/>
        </w:rPr>
      </w:pPr>
    </w:p>
    <w:p w:rsidR="009C294A" w:rsidRDefault="004B50A9">
      <w:pPr>
        <w:ind w:firstLine="851"/>
      </w:pPr>
      <w:r>
        <w:rPr>
          <w:b/>
        </w:rPr>
        <w:t xml:space="preserve">CONSIDERANDO </w:t>
      </w:r>
      <w:r>
        <w:t>a necessidade da criação de um grupo para a realização de um estudo conjunto, considerando a transversalidade do tem</w:t>
      </w:r>
      <w:r>
        <w:t>a, para propor medidas de revitalização do Centro Histórico de Manaus;</w:t>
      </w:r>
    </w:p>
    <w:p w:rsidR="009C294A" w:rsidRDefault="009C294A">
      <w:pPr>
        <w:ind w:firstLine="851"/>
        <w:rPr>
          <w:b/>
          <w:sz w:val="15"/>
          <w:szCs w:val="15"/>
        </w:rPr>
      </w:pPr>
    </w:p>
    <w:p w:rsidR="009C294A" w:rsidRDefault="004B50A9">
      <w:pPr>
        <w:ind w:firstLine="851"/>
      </w:pPr>
      <w:r>
        <w:rPr>
          <w:b/>
        </w:rPr>
        <w:t xml:space="preserve">CONSIDERANDO </w:t>
      </w:r>
      <w:r>
        <w:t>o teor do Ofício</w:t>
      </w:r>
      <w:r>
        <w:rPr>
          <w:b/>
        </w:rPr>
        <w:t xml:space="preserve"> </w:t>
      </w:r>
      <w:r>
        <w:t>nº 132/2021 – GS/SEMTEPI e o que consta no Processo nº 2021.18911.18923.0.002244 (Volume 1) SIGED,</w:t>
      </w:r>
    </w:p>
    <w:p w:rsidR="009C294A" w:rsidRDefault="009C294A">
      <w:pPr>
        <w:rPr>
          <w:b/>
        </w:rPr>
      </w:pPr>
    </w:p>
    <w:p w:rsidR="009C294A" w:rsidRDefault="004B50A9">
      <w:pPr>
        <w:jc w:val="center"/>
      </w:pPr>
      <w:r>
        <w:rPr>
          <w:b/>
        </w:rPr>
        <w:t>DECRETA:</w:t>
      </w:r>
    </w:p>
    <w:p w:rsidR="009C294A" w:rsidRDefault="009C294A">
      <w:pPr>
        <w:rPr>
          <w:b/>
        </w:rPr>
      </w:pPr>
    </w:p>
    <w:p w:rsidR="009C294A" w:rsidRDefault="004B50A9">
      <w:pPr>
        <w:ind w:firstLine="851"/>
      </w:pPr>
      <w:r>
        <w:rPr>
          <w:b/>
        </w:rPr>
        <w:t xml:space="preserve">Art. 1º </w:t>
      </w:r>
      <w:r>
        <w:t>Fica instituída, no âmbito do Municí</w:t>
      </w:r>
      <w:r>
        <w:t>pio, a Comissão Técnica para Implementação da Revitalização do Centro Histórico de Manaus, com a finalidade de estudar ações e iniciativas que visem a requalificação do ponto de vista histórico, econômico e cultural.</w:t>
      </w:r>
    </w:p>
    <w:p w:rsidR="009C294A" w:rsidRDefault="009C294A">
      <w:pPr>
        <w:ind w:firstLine="851"/>
      </w:pPr>
    </w:p>
    <w:p w:rsidR="009C294A" w:rsidRDefault="004B50A9">
      <w:pPr>
        <w:ind w:firstLine="851"/>
      </w:pPr>
      <w:r>
        <w:rPr>
          <w:b/>
        </w:rPr>
        <w:t xml:space="preserve">Art. 2º </w:t>
      </w:r>
      <w:r>
        <w:t>A</w:t>
      </w:r>
      <w:r>
        <w:rPr>
          <w:b/>
        </w:rPr>
        <w:t xml:space="preserve"> </w:t>
      </w:r>
      <w:r>
        <w:t>Comissão será composta por s</w:t>
      </w:r>
      <w:r>
        <w:t>ervidores das seguintes secretarias:</w:t>
      </w:r>
    </w:p>
    <w:p w:rsidR="009C294A" w:rsidRDefault="009C294A">
      <w:pPr>
        <w:ind w:firstLine="851"/>
        <w:rPr>
          <w:sz w:val="15"/>
          <w:szCs w:val="15"/>
        </w:rPr>
      </w:pPr>
    </w:p>
    <w:p w:rsidR="009C294A" w:rsidRDefault="004B50A9">
      <w:pPr>
        <w:ind w:firstLine="851"/>
      </w:pPr>
      <w:r>
        <w:rPr>
          <w:b/>
        </w:rPr>
        <w:t>I –</w:t>
      </w:r>
      <w:r>
        <w:t xml:space="preserve"> Secretaria Municipal de Finanças e Tecnologia da Informação – SEMEF;</w:t>
      </w:r>
    </w:p>
    <w:p w:rsidR="009C294A" w:rsidRDefault="009C294A">
      <w:pPr>
        <w:ind w:firstLine="851"/>
        <w:rPr>
          <w:sz w:val="15"/>
          <w:szCs w:val="15"/>
        </w:rPr>
      </w:pPr>
    </w:p>
    <w:p w:rsidR="009C294A" w:rsidRDefault="004B50A9">
      <w:pPr>
        <w:ind w:firstLine="851"/>
      </w:pPr>
      <w:r>
        <w:rPr>
          <w:b/>
        </w:rPr>
        <w:t>II –</w:t>
      </w:r>
      <w:r>
        <w:t xml:space="preserve"> Secretaria Municipal do Trabalho, Empreendedorismo e Inovação</w:t>
      </w:r>
      <w:r>
        <w:rPr>
          <w:b/>
        </w:rPr>
        <w:t xml:space="preserve"> </w:t>
      </w:r>
      <w:r>
        <w:t>– SEMTEPI;</w:t>
      </w:r>
    </w:p>
    <w:p w:rsidR="009C294A" w:rsidRDefault="009C294A">
      <w:pPr>
        <w:ind w:firstLine="851"/>
        <w:rPr>
          <w:sz w:val="15"/>
          <w:szCs w:val="15"/>
        </w:rPr>
      </w:pPr>
    </w:p>
    <w:p w:rsidR="009C294A" w:rsidRDefault="004B50A9">
      <w:pPr>
        <w:ind w:firstLine="851"/>
      </w:pPr>
      <w:r>
        <w:rPr>
          <w:b/>
        </w:rPr>
        <w:t>III –</w:t>
      </w:r>
      <w:r>
        <w:t xml:space="preserve"> Instituto Municipal de Planejamento Urbano – IMPLURB; e</w:t>
      </w:r>
    </w:p>
    <w:p w:rsidR="009C294A" w:rsidRDefault="004B50A9">
      <w:pPr>
        <w:ind w:firstLine="851"/>
      </w:pPr>
      <w:r>
        <w:rPr>
          <w:b/>
        </w:rPr>
        <w:t>IV –</w:t>
      </w:r>
      <w:r>
        <w:t xml:space="preserve"> Fundação Municipal de Cultura, Turismo e Eventos – MANAUSCULT.</w:t>
      </w:r>
    </w:p>
    <w:p w:rsidR="009C294A" w:rsidRDefault="009C294A">
      <w:pPr>
        <w:ind w:firstLine="851"/>
        <w:rPr>
          <w:b/>
        </w:rPr>
      </w:pPr>
    </w:p>
    <w:p w:rsidR="009C294A" w:rsidRDefault="004B50A9">
      <w:pPr>
        <w:ind w:firstLine="851"/>
      </w:pPr>
      <w:r>
        <w:rPr>
          <w:b/>
        </w:rPr>
        <w:t xml:space="preserve">Art. 3º </w:t>
      </w:r>
      <w:r>
        <w:t>A participação dos servidores na Comissão de que trata este Decreto não será remunerada, sendo seu exercício considerado de relevante interesse público.</w:t>
      </w:r>
    </w:p>
    <w:p w:rsidR="009C294A" w:rsidRDefault="009C294A">
      <w:pPr>
        <w:ind w:firstLine="851"/>
      </w:pPr>
    </w:p>
    <w:p w:rsidR="009C294A" w:rsidRDefault="004B50A9">
      <w:pPr>
        <w:ind w:firstLine="851"/>
      </w:pPr>
      <w:r>
        <w:rPr>
          <w:b/>
        </w:rPr>
        <w:t xml:space="preserve">Art. 4º </w:t>
      </w:r>
      <w:r>
        <w:t>O trabalho da Com</w:t>
      </w:r>
      <w:r>
        <w:t>issão será desenvolvido até 31-12-2021, podendo ser prorrogada em caso de necessidade, observados os princípios da conveniência e oportunidade da Administração Pública.</w:t>
      </w:r>
    </w:p>
    <w:p w:rsidR="009C294A" w:rsidRDefault="009C294A">
      <w:pPr>
        <w:ind w:firstLine="851"/>
      </w:pPr>
    </w:p>
    <w:p w:rsidR="009C294A" w:rsidRDefault="004B50A9">
      <w:pPr>
        <w:ind w:firstLine="851"/>
        <w:rPr>
          <w:b/>
        </w:rPr>
      </w:pPr>
      <w:r>
        <w:rPr>
          <w:b/>
        </w:rPr>
        <w:t xml:space="preserve">Art. 5º </w:t>
      </w:r>
      <w:r>
        <w:t>A Comissão será vinculada ao Instituto Municipal de Planejamento Urbano – IMPL</w:t>
      </w:r>
      <w:r>
        <w:t>URB.</w:t>
      </w:r>
    </w:p>
    <w:p w:rsidR="009C294A" w:rsidRDefault="009C294A">
      <w:pPr>
        <w:ind w:firstLine="851"/>
        <w:rPr>
          <w:b/>
        </w:rPr>
      </w:pPr>
    </w:p>
    <w:p w:rsidR="009C294A" w:rsidRDefault="004B50A9">
      <w:pPr>
        <w:ind w:firstLine="851"/>
      </w:pPr>
      <w:r>
        <w:rPr>
          <w:b/>
        </w:rPr>
        <w:t xml:space="preserve">Art. 6º </w:t>
      </w:r>
      <w:r>
        <w:t>Ficam designados para compor a Comissão os servidores indicados no Anexo Único deste Decreto.</w:t>
      </w:r>
    </w:p>
    <w:p w:rsidR="009C294A" w:rsidRDefault="009C294A">
      <w:pPr>
        <w:ind w:firstLine="851"/>
        <w:rPr>
          <w:b/>
        </w:rPr>
      </w:pPr>
    </w:p>
    <w:p w:rsidR="009C294A" w:rsidRDefault="004B50A9">
      <w:pPr>
        <w:ind w:firstLine="851"/>
      </w:pPr>
      <w:r>
        <w:rPr>
          <w:b/>
        </w:rPr>
        <w:t xml:space="preserve">Art. 7º </w:t>
      </w:r>
      <w:r>
        <w:t>Este Decreto entra em vigor na data de sua publicação.</w:t>
      </w:r>
    </w:p>
    <w:p w:rsidR="009C294A" w:rsidRDefault="009C294A">
      <w:pPr>
        <w:jc w:val="center"/>
      </w:pPr>
    </w:p>
    <w:p w:rsidR="009C294A" w:rsidRDefault="004B50A9">
      <w:pPr>
        <w:jc w:val="center"/>
      </w:pPr>
      <w:r>
        <w:t>Manaus, 11 de março de 2021.</w:t>
      </w:r>
    </w:p>
    <w:p w:rsidR="009C294A" w:rsidRDefault="009C294A">
      <w:pPr>
        <w:jc w:val="center"/>
        <w:rPr>
          <w:b/>
        </w:rPr>
      </w:pPr>
    </w:p>
    <w:p w:rsidR="009C294A" w:rsidRDefault="009C294A">
      <w:pPr>
        <w:jc w:val="center"/>
      </w:pPr>
    </w:p>
    <w:p w:rsidR="009C294A" w:rsidRDefault="009C294A">
      <w:pPr>
        <w:jc w:val="center"/>
      </w:pPr>
    </w:p>
    <w:p w:rsidR="009C294A" w:rsidRDefault="004B50A9">
      <w:pPr>
        <w:jc w:val="center"/>
        <w:rPr>
          <w:b/>
        </w:rPr>
      </w:pPr>
      <w:r>
        <w:rPr>
          <w:b/>
        </w:rPr>
        <w:t>DAVID ANTÔNIO ABISAI PEREIRA DE ALMEIDA</w:t>
      </w:r>
    </w:p>
    <w:p w:rsidR="009C294A" w:rsidRDefault="004B50A9">
      <w:pPr>
        <w:jc w:val="center"/>
      </w:pPr>
      <w:r>
        <w:t>Prefeito de</w:t>
      </w:r>
      <w:r>
        <w:t xml:space="preserve"> Manaus</w:t>
      </w:r>
    </w:p>
    <w:p w:rsidR="009C294A" w:rsidRDefault="009C294A"/>
    <w:p w:rsidR="009C294A" w:rsidRDefault="009C294A"/>
    <w:p w:rsidR="009C294A" w:rsidRDefault="004B50A9">
      <w:pPr>
        <w:jc w:val="center"/>
        <w:rPr>
          <w:b/>
        </w:rPr>
      </w:pPr>
      <w:r>
        <w:rPr>
          <w:b/>
        </w:rPr>
        <w:t>ANEXO ÚNICO</w:t>
      </w:r>
    </w:p>
    <w:p w:rsidR="009C294A" w:rsidRDefault="009C294A"/>
    <w:tbl>
      <w:tblPr>
        <w:tblStyle w:val="a"/>
        <w:tblW w:w="45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551"/>
      </w:tblGrid>
      <w:tr w:rsidR="009C294A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ÓRGÃO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SERVIDOR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SEMEF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Clécio da Cunha Freire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9C2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Edson Nogueira Fernandes Júnior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SEMTEPI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Radyr</w:t>
            </w:r>
            <w:proofErr w:type="spellEnd"/>
            <w:r>
              <w:rPr>
                <w:sz w:val="15"/>
                <w:szCs w:val="15"/>
              </w:rPr>
              <w:t xml:space="preserve"> Gomes de Oliveira Junior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9C2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Gustavo Adolfo Igrejas Figueira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9C2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Jullyano</w:t>
            </w:r>
            <w:proofErr w:type="spellEnd"/>
            <w:r>
              <w:rPr>
                <w:sz w:val="15"/>
                <w:szCs w:val="15"/>
              </w:rPr>
              <w:t xml:space="preserve"> Braga da Silva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IMPLURB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Carlos Alberto Valente Araújo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9C2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Claudemir Jose Andrade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MANAUSCULT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Alonso Oliveira de Souza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9C2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Célio Alberto Cruz de Oliveira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9C2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Jonathas Almeida Ribeiro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9C2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Alexandre Mascarenhas Pinto</w:t>
            </w:r>
          </w:p>
        </w:tc>
      </w:tr>
      <w:tr w:rsidR="009C294A">
        <w:trPr>
          <w:trHeight w:val="198"/>
          <w:jc w:val="center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9C2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4A" w:rsidRDefault="004B50A9">
            <w:pPr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Oreni</w:t>
            </w:r>
            <w:proofErr w:type="spellEnd"/>
            <w:r>
              <w:rPr>
                <w:sz w:val="15"/>
                <w:szCs w:val="15"/>
              </w:rPr>
              <w:t xml:space="preserve"> Campelo Braga da Silva</w:t>
            </w:r>
          </w:p>
        </w:tc>
      </w:tr>
    </w:tbl>
    <w:p w:rsidR="009C294A" w:rsidRDefault="009C294A"/>
    <w:sectPr w:rsidR="009C294A">
      <w:pgSz w:w="11906" w:h="16838"/>
      <w:pgMar w:top="1418" w:right="3686" w:bottom="1418" w:left="368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4A"/>
    <w:rsid w:val="004B50A9"/>
    <w:rsid w:val="009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F6C80-7ECB-4957-85D0-9A37734B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17"/>
        <w:szCs w:val="17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Julielen</dc:creator>
  <cp:lastModifiedBy>Julielen</cp:lastModifiedBy>
  <cp:revision>2</cp:revision>
  <dcterms:created xsi:type="dcterms:W3CDTF">2022-05-05T12:37:00Z</dcterms:created>
  <dcterms:modified xsi:type="dcterms:W3CDTF">2022-05-05T12:37:00Z</dcterms:modified>
</cp:coreProperties>
</file>